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pPr>
      <w:bookmarkStart w:colFirst="0" w:colLast="0" w:name="_heading=h.cdiw4u2b1o1s" w:id="0"/>
      <w:bookmarkEnd w:id="0"/>
      <w:r w:rsidDel="00000000" w:rsidR="00000000" w:rsidRPr="00000000">
        <w:rPr>
          <w:rtl w:val="0"/>
        </w:rPr>
        <w:t xml:space="preserve">Music Development Plan</w:t>
        <w:br w:type="textWrapping"/>
        <w:t xml:space="preserve">Burnham On Sea Infant School</w:t>
      </w:r>
    </w:p>
    <w:p w:rsidR="00000000" w:rsidDel="00000000" w:rsidP="00000000" w:rsidRDefault="00000000" w:rsidRPr="00000000" w14:paraId="00000002">
      <w:pPr>
        <w:spacing w:after="160" w:line="259" w:lineRule="auto"/>
        <w:jc w:val="center"/>
        <w:rPr/>
      </w:pPr>
      <w:bookmarkStart w:colFirst="0" w:colLast="0" w:name="_heading=h.gjdgxs" w:id="1"/>
      <w:bookmarkEnd w:id="1"/>
      <w:r w:rsidDel="00000000" w:rsidR="00000000" w:rsidRPr="00000000">
        <w:rPr>
          <w:rFonts w:ascii="Calibri" w:cs="Calibri" w:eastAsia="Calibri" w:hAnsi="Calibri"/>
          <w:color w:val="000000"/>
          <w:sz w:val="22"/>
          <w:szCs w:val="22"/>
        </w:rPr>
        <w:drawing>
          <wp:inline distB="0" distT="0" distL="0" distR="0">
            <wp:extent cx="772966" cy="730612"/>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72966" cy="730612"/>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Style w:val="Heading2"/>
        <w:rPr/>
      </w:pPr>
      <w:r w:rsidDel="00000000" w:rsidR="00000000" w:rsidRPr="00000000">
        <w:rPr>
          <w:rtl w:val="0"/>
        </w:rPr>
        <w:t xml:space="preserve">Overview</w:t>
      </w:r>
    </w:p>
    <w:tbl>
      <w:tblPr>
        <w:tblStyle w:val="Table1"/>
        <w:tblW w:w="9486.0" w:type="dxa"/>
        <w:jc w:val="left"/>
        <w:tblLayout w:type="fixed"/>
        <w:tblLook w:val="0000"/>
      </w:tblPr>
      <w:tblGrid>
        <w:gridCol w:w="5524"/>
        <w:gridCol w:w="3962"/>
        <w:tblGridChange w:id="0">
          <w:tblGrid>
            <w:gridCol w:w="5524"/>
            <w:gridCol w:w="396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Detail</w:t>
            </w:r>
          </w:p>
        </w:tc>
        <w:tc>
          <w:tcPr>
            <w:tcBorders>
              <w:top w:color="000000" w:space="0" w:sz="4" w:val="single"/>
              <w:left w:color="000000" w:space="0" w:sz="4" w:val="single"/>
              <w:bottom w:color="000000" w:space="0" w:sz="4" w:val="single"/>
              <w:right w:color="000000" w:space="0" w:sz="4" w:val="single"/>
            </w:tcBorders>
            <w:shd w:fill="cfdce3" w:val="clear"/>
            <w:tcMar>
              <w:top w:w="0.0" w:type="dxa"/>
              <w:left w:w="108.0" w:type="dxa"/>
              <w:bottom w:w="0.0" w:type="dxa"/>
              <w:right w:w="108.0" w:type="dxa"/>
            </w:tcMar>
          </w:tcPr>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1"/>
                <w:i w:val="0"/>
                <w:smallCaps w:val="0"/>
                <w:strike w:val="0"/>
                <w:color w:val="0d0d0d"/>
                <w:sz w:val="24"/>
                <w:szCs w:val="24"/>
                <w:u w:val="none"/>
                <w:shd w:fill="auto" w:val="clear"/>
                <w:vertAlign w:val="baseline"/>
              </w:rPr>
            </w:pPr>
            <w:r w:rsidDel="00000000" w:rsidR="00000000" w:rsidRPr="00000000">
              <w:rPr>
                <w:rFonts w:ascii="Arial" w:cs="Arial" w:eastAsia="Arial" w:hAnsi="Arial"/>
                <w:b w:val="1"/>
                <w:i w:val="0"/>
                <w:smallCaps w:val="0"/>
                <w:strike w:val="0"/>
                <w:color w:val="0d0d0d"/>
                <w:sz w:val="24"/>
                <w:szCs w:val="24"/>
                <w:u w:val="none"/>
                <w:shd w:fill="auto" w:val="clear"/>
                <w:vertAlign w:val="baseline"/>
                <w:rtl w:val="0"/>
              </w:rPr>
              <w:t xml:space="preserve">Information</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Academic year that this summary covers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202</w:t>
            </w:r>
            <w:r w:rsidDel="00000000" w:rsidR="00000000" w:rsidRPr="00000000">
              <w:rPr>
                <w:rtl w:val="0"/>
              </w:rPr>
              <w:t xml:space="preserve">5</w:t>
            </w: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 – 202</w:t>
            </w:r>
            <w:r w:rsidDel="00000000" w:rsidR="00000000" w:rsidRPr="00000000">
              <w:rPr>
                <w:rtl w:val="0"/>
              </w:rPr>
              <w:t xml:space="preserve">6</w:t>
            </w: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 </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Date this summary was published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September 202</w:t>
            </w:r>
            <w:r w:rsidDel="00000000" w:rsidR="00000000" w:rsidRPr="00000000">
              <w:rPr>
                <w:rtl w:val="0"/>
              </w:rPr>
              <w:t xml:space="preserve">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Date this summary will be reviewed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September 202</w:t>
            </w:r>
            <w:r w:rsidDel="00000000" w:rsidR="00000000" w:rsidRPr="00000000">
              <w:rPr>
                <w:rtl w:val="0"/>
              </w:rPr>
              <w:t xml:space="preserve">6</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Name of the school music lead</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Carly Hatch</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Name of school leadership team member with responsibility for music (if different)</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Name of local music hub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Somerset Local Authority</w:t>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tl w:val="0"/>
              </w:rPr>
              <w:t xml:space="preserve">Name of other music education organisation(s) (if partnership in place) </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40" w:lineRule="auto"/>
              <w:ind w:left="57" w:right="57"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rsidR="00000000" w:rsidDel="00000000" w:rsidP="00000000" w:rsidRDefault="00000000" w:rsidRPr="00000000" w14:paraId="00000016">
      <w:pPr>
        <w:pStyle w:val="Heading2"/>
        <w:spacing w:before="600" w:lineRule="auto"/>
        <w:rPr/>
      </w:pPr>
      <w:bookmarkStart w:colFirst="0" w:colLast="0" w:name="_heading=h.ugljw4i27epj" w:id="2"/>
      <w:bookmarkEnd w:id="2"/>
      <w:r w:rsidDel="00000000" w:rsidR="00000000" w:rsidRPr="00000000">
        <w:rPr>
          <w:rtl w:val="0"/>
        </w:rPr>
        <w:t xml:space="preserve">Part A: Curriculum music</w:t>
      </w:r>
    </w:p>
    <w:p w:rsidR="00000000" w:rsidDel="00000000" w:rsidP="00000000" w:rsidRDefault="00000000" w:rsidRPr="00000000" w14:paraId="00000017">
      <w:pPr>
        <w:rPr/>
      </w:pPr>
      <w:r w:rsidDel="00000000" w:rsidR="00000000" w:rsidRPr="00000000">
        <w:rPr>
          <w:rtl w:val="0"/>
        </w:rPr>
        <w:t xml:space="preserve">This is about what we teach in lesson time, how much time is spent teaching music and any music qualifications or awards that pupils can achieve.</w:t>
      </w:r>
    </w:p>
    <w:tbl>
      <w:tblPr>
        <w:tblStyle w:val="Table2"/>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8">
            <w:pPr>
              <w:spacing w:after="120" w:before="120" w:lineRule="auto"/>
              <w:rPr/>
            </w:pPr>
            <w:r w:rsidDel="00000000" w:rsidR="00000000" w:rsidRPr="00000000">
              <w:rPr>
                <w:rtl w:val="0"/>
              </w:rPr>
              <w:t xml:space="preserve">At Burnham Infants we use Charanga to support our teaching of the music curriculum.</w:t>
            </w:r>
          </w:p>
          <w:p w:rsidR="00000000" w:rsidDel="00000000" w:rsidP="00000000" w:rsidRDefault="00000000" w:rsidRPr="00000000" w14:paraId="00000019">
            <w:pPr>
              <w:spacing w:after="120" w:before="120" w:lineRule="auto"/>
              <w:rPr/>
            </w:pPr>
            <w:r w:rsidDel="00000000" w:rsidR="00000000" w:rsidRPr="00000000">
              <w:rPr>
                <w:rtl w:val="0"/>
              </w:rPr>
              <w:t xml:space="preserve">Charanga’s music scheme of work enables pupils to meet the end of key stage attainment targets outlined in the national curriculum and the aims of the scheme align with those in the national curriculum.</w:t>
            </w:r>
          </w:p>
          <w:p w:rsidR="00000000" w:rsidDel="00000000" w:rsidP="00000000" w:rsidRDefault="00000000" w:rsidRPr="00000000" w14:paraId="0000001A">
            <w:pPr>
              <w:spacing w:after="120" w:before="120" w:lineRule="auto"/>
              <w:rPr/>
            </w:pPr>
            <w:r w:rsidDel="00000000" w:rsidR="00000000" w:rsidRPr="00000000">
              <w:rPr>
                <w:rtl w:val="0"/>
              </w:rPr>
              <w:t xml:space="preserve">Music lessons ensure progression of knowledge and skills throughout the primary journey and focus on the individual strands of performing, listening, composing, the history of music and the inter-related dimensions of music. Lessons also include a range of historical periods, genres, styles and traditions.</w:t>
            </w:r>
          </w:p>
          <w:p w:rsidR="00000000" w:rsidDel="00000000" w:rsidP="00000000" w:rsidRDefault="00000000" w:rsidRPr="00000000" w14:paraId="0000001B">
            <w:pPr>
              <w:spacing w:after="120" w:before="120" w:lineRule="auto"/>
              <w:rPr/>
            </w:pPr>
            <w:r w:rsidDel="00000000" w:rsidR="00000000" w:rsidRPr="00000000">
              <w:rPr>
                <w:rtl w:val="0"/>
              </w:rPr>
              <w:t xml:space="preserve">Children take part in one music lesson each week. Additional music experiences and activities are outlined below. (See musical experiences and events).</w:t>
            </w:r>
          </w:p>
          <w:p w:rsidR="00000000" w:rsidDel="00000000" w:rsidP="00000000" w:rsidRDefault="00000000" w:rsidRPr="00000000" w14:paraId="0000001C">
            <w:pPr>
              <w:spacing w:after="120" w:before="120" w:lineRule="auto"/>
              <w:rPr/>
            </w:pPr>
            <w:r w:rsidDel="00000000" w:rsidR="00000000" w:rsidRPr="00000000">
              <w:rPr>
                <w:rtl w:val="0"/>
              </w:rPr>
              <w:t xml:space="preserve">Adaptations are made within each music lesson to ensure all SEND pupils can access the learning.</w:t>
            </w:r>
          </w:p>
          <w:p w:rsidR="00000000" w:rsidDel="00000000" w:rsidP="00000000" w:rsidRDefault="00000000" w:rsidRPr="00000000" w14:paraId="0000001D">
            <w:pPr>
              <w:spacing w:after="120" w:before="120" w:lineRule="auto"/>
              <w:rPr/>
            </w:pPr>
            <w:r w:rsidDel="00000000" w:rsidR="00000000" w:rsidRPr="00000000">
              <w:rPr>
                <w:rtl w:val="0"/>
              </w:rPr>
              <w:t xml:space="preserve">Burnham Infants receive support and guidance from the Local Authority curriculum team with regards to music provision. We provide opportunities to perform music including singing to an audience through our school productions. We also attend local community events and singing opportunities such as the Christmas Lights Switch On and carol services. </w:t>
            </w:r>
          </w:p>
        </w:tc>
      </w:tr>
    </w:tbl>
    <w:p w:rsidR="00000000" w:rsidDel="00000000" w:rsidP="00000000" w:rsidRDefault="00000000" w:rsidRPr="00000000" w14:paraId="0000001E">
      <w:pPr>
        <w:pStyle w:val="Heading2"/>
        <w:spacing w:before="600" w:lineRule="auto"/>
        <w:rPr/>
      </w:pPr>
      <w:bookmarkStart w:colFirst="0" w:colLast="0" w:name="_heading=h.hk99zxqjxp5z" w:id="3"/>
      <w:bookmarkEnd w:id="3"/>
      <w:r w:rsidDel="00000000" w:rsidR="00000000" w:rsidRPr="00000000">
        <w:rPr>
          <w:rtl w:val="0"/>
        </w:rPr>
        <w:t xml:space="preserve">Part B: Extra-curricular music</w:t>
      </w:r>
    </w:p>
    <w:p w:rsidR="00000000" w:rsidDel="00000000" w:rsidP="00000000" w:rsidRDefault="00000000" w:rsidRPr="00000000" w14:paraId="0000001F">
      <w:pPr>
        <w:rPr/>
      </w:pPr>
      <w:r w:rsidDel="00000000" w:rsidR="00000000" w:rsidRPr="00000000">
        <w:rPr>
          <w:rtl w:val="0"/>
        </w:rPr>
        <w:t xml:space="preserve">This is about opportunities for pupils to sing and play music, outside of lesson time, including choirs, ensembles and bands, and how pupils can make progress in music beyond the core curriculum.</w:t>
      </w:r>
    </w:p>
    <w:tbl>
      <w:tblPr>
        <w:tblStyle w:val="Table3"/>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0">
            <w:pPr>
              <w:spacing w:after="120" w:before="120" w:lineRule="auto"/>
              <w:rPr/>
            </w:pPr>
            <w:r w:rsidDel="00000000" w:rsidR="00000000" w:rsidRPr="00000000">
              <w:rPr>
                <w:rtl w:val="0"/>
              </w:rPr>
              <w:t xml:space="preserve">At Burnham Infants we have a wide range of music instruments available for children to explore during their time in school such as glockenspiels, egg shakers, African drums etc. </w:t>
            </w:r>
          </w:p>
          <w:p w:rsidR="00000000" w:rsidDel="00000000" w:rsidP="00000000" w:rsidRDefault="00000000" w:rsidRPr="00000000" w14:paraId="00000021">
            <w:pPr>
              <w:spacing w:after="120" w:before="120" w:lineRule="auto"/>
              <w:rPr/>
            </w:pPr>
            <w:r w:rsidDel="00000000" w:rsidR="00000000" w:rsidRPr="00000000">
              <w:rPr>
                <w:rtl w:val="0"/>
              </w:rPr>
              <w:t xml:space="preserve">Children are given the opportunity to attend a range of after school clubs, including those with a music focus.  Most recently this has included drumming club and drama and singing club. These clubs are booked by parents directly with the school. </w:t>
            </w:r>
          </w:p>
          <w:p w:rsidR="00000000" w:rsidDel="00000000" w:rsidP="00000000" w:rsidRDefault="00000000" w:rsidRPr="00000000" w14:paraId="00000022">
            <w:pPr>
              <w:spacing w:after="120" w:before="120" w:lineRule="auto"/>
              <w:rPr/>
            </w:pPr>
            <w:r w:rsidDel="00000000" w:rsidR="00000000" w:rsidRPr="00000000">
              <w:rPr>
                <w:rtl w:val="0"/>
              </w:rPr>
              <w:t xml:space="preserve">The school will support and fund disadvantaged learners to attend after school clubs for free.  </w:t>
            </w:r>
          </w:p>
        </w:tc>
      </w:tr>
    </w:tbl>
    <w:p w:rsidR="00000000" w:rsidDel="00000000" w:rsidP="00000000" w:rsidRDefault="00000000" w:rsidRPr="00000000" w14:paraId="00000023">
      <w:pPr>
        <w:pStyle w:val="Heading2"/>
        <w:spacing w:before="600" w:lineRule="auto"/>
        <w:rPr/>
      </w:pPr>
      <w:r w:rsidDel="00000000" w:rsidR="00000000" w:rsidRPr="00000000">
        <w:rPr>
          <w:rtl w:val="0"/>
        </w:rPr>
        <w:t xml:space="preserve">Part C: Musical experiences and events</w:t>
      </w:r>
    </w:p>
    <w:p w:rsidR="00000000" w:rsidDel="00000000" w:rsidP="00000000" w:rsidRDefault="00000000" w:rsidRPr="00000000" w14:paraId="00000024">
      <w:pPr>
        <w:rPr/>
      </w:pPr>
      <w:r w:rsidDel="00000000" w:rsidR="00000000" w:rsidRPr="00000000">
        <w:rPr>
          <w:rtl w:val="0"/>
        </w:rPr>
        <w:t xml:space="preserve">This is about all the other musical events and opportunities that we organise, such as singing in assembly, concerts and shows, and trips to professional concerts.</w:t>
      </w:r>
    </w:p>
    <w:tbl>
      <w:tblPr>
        <w:tblStyle w:val="Table4"/>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5">
            <w:pPr>
              <w:spacing w:after="120" w:before="120" w:lineRule="auto"/>
              <w:rPr/>
            </w:pPr>
            <w:r w:rsidDel="00000000" w:rsidR="00000000" w:rsidRPr="00000000">
              <w:rPr>
                <w:rtl w:val="0"/>
              </w:rPr>
              <w:t xml:space="preserve">Children take part in a 20 minute singing worship each week where they have the opportunity to watch and discuss a variety of instruments being used online then learn and perform a range of songs together. Foundation stage and Year 1 perform a range of songs in their Nativity performance and Year 2 take part in a leaver’s production. All productions are shared with the rest of the school.</w:t>
            </w:r>
          </w:p>
          <w:p w:rsidR="00000000" w:rsidDel="00000000" w:rsidP="00000000" w:rsidRDefault="00000000" w:rsidRPr="00000000" w14:paraId="00000026">
            <w:pPr>
              <w:spacing w:after="120" w:before="120" w:lineRule="auto"/>
              <w:rPr/>
            </w:pPr>
            <w:r w:rsidDel="00000000" w:rsidR="00000000" w:rsidRPr="00000000">
              <w:rPr>
                <w:rtl w:val="0"/>
              </w:rPr>
            </w:r>
          </w:p>
        </w:tc>
      </w:tr>
    </w:tbl>
    <w:p w:rsidR="00000000" w:rsidDel="00000000" w:rsidP="00000000" w:rsidRDefault="00000000" w:rsidRPr="00000000" w14:paraId="00000027">
      <w:pPr>
        <w:pStyle w:val="Heading2"/>
        <w:tabs>
          <w:tab w:val="left" w:leader="none" w:pos="8034"/>
        </w:tabs>
        <w:spacing w:before="600" w:lineRule="auto"/>
        <w:rPr/>
      </w:pPr>
      <w:r w:rsidDel="00000000" w:rsidR="00000000" w:rsidRPr="00000000">
        <w:rPr>
          <w:rtl w:val="0"/>
        </w:rPr>
        <w:t xml:space="preserve">In the future</w:t>
      </w:r>
    </w:p>
    <w:p w:rsidR="00000000" w:rsidDel="00000000" w:rsidP="00000000" w:rsidRDefault="00000000" w:rsidRPr="00000000" w14:paraId="00000028">
      <w:pPr>
        <w:rPr/>
      </w:pPr>
      <w:r w:rsidDel="00000000" w:rsidR="00000000" w:rsidRPr="00000000">
        <w:rPr>
          <w:rtl w:val="0"/>
        </w:rPr>
        <w:t xml:space="preserve">This is about what the school is planning for subsequent years.</w:t>
      </w:r>
    </w:p>
    <w:tbl>
      <w:tblPr>
        <w:tblStyle w:val="Table5"/>
        <w:tblW w:w="9486.0" w:type="dxa"/>
        <w:jc w:val="left"/>
        <w:tblLayout w:type="fixed"/>
        <w:tblLook w:val="0000"/>
      </w:tblPr>
      <w:tblGrid>
        <w:gridCol w:w="9486"/>
        <w:tblGridChange w:id="0">
          <w:tblGrid>
            <w:gridCol w:w="948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29">
            <w:pPr>
              <w:spacing w:after="120" w:before="120" w:lineRule="auto"/>
              <w:rPr/>
            </w:pPr>
            <w:r w:rsidDel="00000000" w:rsidR="00000000" w:rsidRPr="00000000">
              <w:rPr>
                <w:rtl w:val="0"/>
              </w:rPr>
              <w:t xml:space="preserve">We aim to introduce the teaching of recorder in Year 2. Children will therefore have the opportunity to learn an instrument during their time at Burnham Infants in addition to the instruments used in lessons.</w:t>
            </w:r>
          </w:p>
          <w:p w:rsidR="00000000" w:rsidDel="00000000" w:rsidP="00000000" w:rsidRDefault="00000000" w:rsidRPr="00000000" w14:paraId="0000002A">
            <w:pPr>
              <w:spacing w:after="120" w:before="120" w:lineRule="auto"/>
              <w:rPr/>
            </w:pPr>
            <w:r w:rsidDel="00000000" w:rsidR="00000000" w:rsidRPr="00000000">
              <w:rPr>
                <w:rtl w:val="0"/>
              </w:rPr>
              <w:t xml:space="preserve">School choirs will have the opportunity to perform in front of an audience at school events.</w:t>
            </w:r>
          </w:p>
          <w:p w:rsidR="00000000" w:rsidDel="00000000" w:rsidP="00000000" w:rsidRDefault="00000000" w:rsidRPr="00000000" w14:paraId="0000002B">
            <w:pPr>
              <w:spacing w:after="120" w:before="120" w:lineRule="auto"/>
              <w:rPr/>
            </w:pPr>
            <w:r w:rsidDel="00000000" w:rsidR="00000000" w:rsidRPr="00000000">
              <w:rPr>
                <w:rtl w:val="0"/>
              </w:rPr>
              <w:t xml:space="preserve">We are also planning to celebrate World Music Day each year where the whole school takes part in music related events.</w:t>
            </w:r>
          </w:p>
        </w:tc>
      </w:tr>
    </w:tbl>
    <w:p w:rsidR="00000000" w:rsidDel="00000000" w:rsidP="00000000" w:rsidRDefault="00000000" w:rsidRPr="00000000" w14:paraId="0000002C">
      <w:pPr>
        <w:rPr/>
      </w:pPr>
      <w:bookmarkStart w:colFirst="0" w:colLast="0" w:name="_heading=h.lcht50rcpq3m" w:id="4"/>
      <w:bookmarkEnd w:id="4"/>
      <w:r w:rsidDel="00000000" w:rsidR="00000000" w:rsidRPr="00000000">
        <w:rPr>
          <w:rtl w:val="0"/>
        </w:rPr>
      </w:r>
    </w:p>
    <w:sectPr>
      <w:headerReference r:id="rId8" w:type="default"/>
      <w:footerReference r:id="rId9" w:type="default"/>
      <w:pgSz w:h="16838" w:w="11906" w:orient="portrait"/>
      <w:pgMar w:bottom="1134" w:top="1134" w:left="1134" w:right="1276"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4513"/>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Fonts w:ascii="Arial" w:cs="Arial" w:eastAsia="Arial" w:hAnsi="Arial"/>
        <w:b w:val="0"/>
        <w:i w:val="0"/>
        <w:smallCaps w:val="0"/>
        <w:strike w:val="0"/>
        <w:color w:val="0d0d0d"/>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d0d0d"/>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0d0d0d"/>
        <w:sz w:val="24"/>
        <w:szCs w:val="24"/>
        <w:lang w:val="en_GB"/>
      </w:rPr>
    </w:rPrDefault>
    <w:pPrDefault>
      <w:pPr>
        <w:spacing w:after="240" w:line="288"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ageBreakBefore w:val="1"/>
      <w:spacing w:line="240" w:lineRule="auto"/>
    </w:pPr>
    <w:rPr>
      <w:b w:val="1"/>
      <w:color w:val="104f75"/>
      <w:sz w:val="36"/>
      <w:szCs w:val="36"/>
    </w:rPr>
  </w:style>
  <w:style w:type="paragraph" w:styleId="Heading2">
    <w:name w:val="heading 2"/>
    <w:basedOn w:val="Normal"/>
    <w:next w:val="Normal"/>
    <w:pPr>
      <w:keepNext w:val="1"/>
      <w:spacing w:before="480" w:line="240" w:lineRule="auto"/>
    </w:pPr>
    <w:rPr>
      <w:b w:val="1"/>
      <w:color w:val="104f75"/>
      <w:sz w:val="32"/>
      <w:szCs w:val="32"/>
    </w:rPr>
  </w:style>
  <w:style w:type="paragraph" w:styleId="Heading3">
    <w:name w:val="heading 3"/>
    <w:basedOn w:val="Normal"/>
    <w:next w:val="Normal"/>
    <w:pPr>
      <w:keepNext w:val="1"/>
      <w:spacing w:before="360" w:line="240" w:lineRule="auto"/>
    </w:pPr>
    <w:rPr>
      <w:b w:val="1"/>
      <w:color w:val="104f75"/>
      <w:sz w:val="28"/>
      <w:szCs w:val="28"/>
    </w:rPr>
  </w:style>
  <w:style w:type="paragraph" w:styleId="Heading4">
    <w:name w:val="heading 4"/>
    <w:basedOn w:val="Normal"/>
    <w:next w:val="Normal"/>
    <w:pPr>
      <w:keepNext w:val="1"/>
      <w:spacing w:before="240" w:line="240" w:lineRule="auto"/>
    </w:pPr>
    <w:rPr>
      <w:b w:val="1"/>
      <w:color w:val="104f75"/>
      <w:sz w:val="24"/>
      <w:szCs w:val="24"/>
    </w:rPr>
  </w:style>
  <w:style w:type="paragraph" w:styleId="Heading5">
    <w:name w:val="heading 5"/>
    <w:basedOn w:val="Normal"/>
    <w:next w:val="Normal"/>
    <w:pPr>
      <w:spacing w:after="60" w:before="240" w:lineRule="auto"/>
      <w:ind w:left="1008" w:hanging="1008"/>
    </w:pPr>
    <w:rPr>
      <w:rFonts w:ascii="Calibri" w:cs="Calibri" w:eastAsia="Calibri" w:hAnsi="Calibri"/>
      <w:b w:val="1"/>
      <w:i w:val="1"/>
      <w:sz w:val="26"/>
      <w:szCs w:val="26"/>
    </w:rPr>
  </w:style>
  <w:style w:type="paragraph" w:styleId="Heading6">
    <w:name w:val="heading 6"/>
    <w:basedOn w:val="Normal"/>
    <w:next w:val="Normal"/>
    <w:pPr>
      <w:spacing w:after="60" w:before="240" w:lineRule="auto"/>
      <w:ind w:left="1152" w:hanging="1152"/>
    </w:pPr>
    <w:rPr>
      <w:rFonts w:ascii="Calibri" w:cs="Calibri" w:eastAsia="Calibri" w:hAnsi="Calibri"/>
      <w:b w:val="1"/>
    </w:rPr>
  </w:style>
  <w:style w:type="paragraph" w:styleId="Title">
    <w:name w:val="Title"/>
    <w:basedOn w:val="Normal"/>
    <w:next w:val="Normal"/>
    <w:pPr>
      <w:spacing w:before="240" w:line="240" w:lineRule="auto"/>
    </w:pPr>
    <w:rPr>
      <w:b w:val="1"/>
      <w:color w:val="104f75"/>
      <w:sz w:val="96"/>
      <w:szCs w:val="96"/>
    </w:rPr>
  </w:style>
  <w:style w:type="paragraph" w:styleId="Heading7">
    <w:name w:val="heading 7"/>
    <w:basedOn w:val="Normal"/>
    <w:next w:val="Normal"/>
    <w:pPr>
      <w:numPr>
        <w:ilvl w:val="6"/>
        <w:numId w:val="1"/>
      </w:numPr>
      <w:spacing w:after="60" w:before="240"/>
      <w:outlineLvl w:val="6"/>
    </w:pPr>
    <w:rPr>
      <w:rFonts w:ascii="Calibri" w:hAnsi="Calibri"/>
    </w:rPr>
  </w:style>
  <w:style w:type="paragraph" w:styleId="Heading8">
    <w:name w:val="heading 8"/>
    <w:basedOn w:val="Normal"/>
    <w:next w:val="Normal"/>
    <w:pPr>
      <w:numPr>
        <w:ilvl w:val="7"/>
        <w:numId w:val="1"/>
      </w:numPr>
      <w:spacing w:after="60" w:before="240"/>
      <w:outlineLvl w:val="7"/>
    </w:pPr>
    <w:rPr>
      <w:rFonts w:ascii="Calibri" w:hAnsi="Calibri"/>
      <w:i w:val="1"/>
      <w:iCs w:val="1"/>
    </w:rPr>
  </w:style>
  <w:style w:type="paragraph" w:styleId="Heading9">
    <w:name w:val="heading 9"/>
    <w:basedOn w:val="Normal"/>
    <w:next w:val="Normal"/>
    <w:pPr>
      <w:numPr>
        <w:ilvl w:val="8"/>
        <w:numId w:val="1"/>
      </w:numPr>
      <w:spacing w:after="60" w:before="240"/>
      <w:outlineLvl w:val="8"/>
    </w:pPr>
    <w:rPr>
      <w:rFonts w:ascii="Cambria" w:hAnsi="Cambria"/>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numbering" w:styleId="WWOutlineListStyle4" w:customStyle="1">
    <w:name w:val="WW_OutlineListStyle_4"/>
    <w:basedOn w:val="NoList"/>
    <w:pPr>
      <w:numPr>
        <w:numId w:val="1"/>
      </w:numPr>
    </w:pPr>
  </w:style>
  <w:style w:type="character" w:styleId="Heading1Char" w:customStyle="1">
    <w:name w:val="Heading 1 Char"/>
    <w:rPr>
      <w:b w:val="1"/>
      <w:color w:val="104f75"/>
      <w:sz w:val="36"/>
      <w:szCs w:val="24"/>
    </w:rPr>
  </w:style>
  <w:style w:type="character" w:styleId="Heading2Char" w:customStyle="1">
    <w:name w:val="Heading 2 Char"/>
    <w:rPr>
      <w:b w:val="1"/>
      <w:color w:val="104f75"/>
      <w:sz w:val="32"/>
      <w:szCs w:val="32"/>
    </w:rPr>
  </w:style>
  <w:style w:type="character" w:styleId="Heading3Char" w:customStyle="1">
    <w:name w:val="Heading 3 Char"/>
    <w:rPr>
      <w:b w:val="1"/>
      <w:bCs w:val="1"/>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val="1"/>
    </w:pPr>
    <w:rPr>
      <w:rFonts w:cs="Arial"/>
      <w:b w:val="1"/>
      <w:color w:val="365f91"/>
      <w:sz w:val="36"/>
      <w:szCs w:val="28"/>
      <w:lang w:eastAsia="ja-JP"/>
    </w:rPr>
  </w:style>
  <w:style w:type="paragraph" w:styleId="TitleText" w:customStyle="1">
    <w:name w:val="TitleText"/>
    <w:basedOn w:val="Normal"/>
    <w:pPr>
      <w:spacing w:before="3600" w:line="240" w:lineRule="auto"/>
    </w:pPr>
    <w:rPr>
      <w:rFonts w:cs="Arial"/>
      <w:b w:val="1"/>
      <w:color w:val="104f75"/>
      <w:sz w:val="92"/>
      <w:szCs w:val="92"/>
    </w:rPr>
  </w:style>
  <w:style w:type="character" w:styleId="TitleTextChar" w:customStyle="1">
    <w:name w:val="TitleText Char"/>
    <w:rPr>
      <w:rFonts w:cs="Arial"/>
      <w:b w:val="1"/>
      <w:color w:val="104f75"/>
      <w:sz w:val="92"/>
      <w:szCs w:val="92"/>
    </w:rPr>
  </w:style>
  <w:style w:type="paragraph" w:styleId="SubtitleText" w:customStyle="1">
    <w:name w:val="SubtitleText"/>
    <w:basedOn w:val="Normal"/>
    <w:pPr>
      <w:spacing w:after="1520"/>
    </w:pPr>
    <w:rPr>
      <w:rFonts w:cs="Arial"/>
      <w:b w:val="1"/>
      <w:color w:val="104f75"/>
      <w:sz w:val="48"/>
      <w:szCs w:val="48"/>
    </w:rPr>
  </w:style>
  <w:style w:type="character" w:styleId="SubtitleTextChar" w:customStyle="1">
    <w:name w:val="SubtitleText Char"/>
    <w:rPr>
      <w:rFonts w:cs="Arial"/>
      <w:b w:val="1"/>
      <w:color w:val="104f75"/>
      <w:sz w:val="48"/>
      <w:szCs w:val="48"/>
    </w:rPr>
  </w:style>
  <w:style w:type="paragraph" w:styleId="ListBullet">
    <w:name w:val="List Bullet"/>
    <w:basedOn w:val="ListBullet5"/>
    <w:pPr>
      <w:numPr>
        <w:numId w:val="8"/>
      </w:numPr>
      <w:contextualSpacing w:val="1"/>
    </w:pPr>
  </w:style>
  <w:style w:type="paragraph" w:styleId="TOC1">
    <w:name w:val="toc 1"/>
    <w:basedOn w:val="Normal"/>
    <w:next w:val="Normal"/>
    <w:autoRedefine w:val="1"/>
    <w:pPr>
      <w:tabs>
        <w:tab w:val="right" w:pos="9498"/>
      </w:tabs>
      <w:spacing w:after="120"/>
    </w:pPr>
  </w:style>
  <w:style w:type="paragraph" w:styleId="TOC2">
    <w:name w:val="toc 2"/>
    <w:basedOn w:val="Normal"/>
    <w:next w:val="Normal"/>
    <w:autoRedefine w:val="1"/>
    <w:pPr>
      <w:tabs>
        <w:tab w:val="right" w:pos="9498"/>
      </w:tabs>
      <w:spacing w:after="120"/>
      <w:ind w:left="238"/>
    </w:pPr>
  </w:style>
  <w:style w:type="paragraph" w:styleId="TOC3">
    <w:name w:val="toc 3"/>
    <w:basedOn w:val="Normal"/>
    <w:next w:val="Normal"/>
    <w:autoRedefine w:val="1"/>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after="120" w:before="6000"/>
    </w:pPr>
  </w:style>
  <w:style w:type="character" w:styleId="CopyrightSpacingChar" w:customStyle="1">
    <w:name w:val="CopyrightSpacing Char"/>
    <w:rPr>
      <w:sz w:val="24"/>
      <w:szCs w:val="24"/>
    </w:rPr>
  </w:style>
  <w:style w:type="character" w:styleId="TitleChar" w:customStyle="1">
    <w:name w:val="Title Char"/>
    <w:rPr>
      <w:rFonts w:ascii="Arial" w:cs="Arial" w:hAnsi="Arial"/>
      <w:b w:val="1"/>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val="1"/>
    </w:pPr>
  </w:style>
  <w:style w:type="paragraph" w:styleId="ListParagraph">
    <w:name w:val="List Paragraph"/>
    <w:basedOn w:val="Normal"/>
    <w:pPr>
      <w:numPr>
        <w:numId w:val="11"/>
      </w:numPr>
      <w:contextualSpacing w:val="1"/>
    </w:pPr>
  </w:style>
  <w:style w:type="paragraph" w:styleId="Caption">
    <w:name w:val="caption"/>
    <w:basedOn w:val="Normal"/>
    <w:next w:val="Normal"/>
    <w:pPr>
      <w:spacing w:after="120" w:before="120"/>
      <w:jc w:val="center"/>
    </w:pPr>
    <w:rPr>
      <w:b w:val="1"/>
      <w:bCs w:val="1"/>
      <w:color w:val="000000"/>
      <w:sz w:val="20"/>
      <w:szCs w:val="20"/>
    </w:rPr>
  </w:style>
  <w:style w:type="character" w:styleId="Heading4Char" w:customStyle="1">
    <w:name w:val="Heading 4 Char"/>
    <w:rPr>
      <w:b w:val="1"/>
      <w:bCs w:val="1"/>
      <w:color w:val="104f75"/>
      <w:sz w:val="24"/>
      <w:szCs w:val="28"/>
    </w:rPr>
  </w:style>
  <w:style w:type="character" w:styleId="Heading5Char" w:customStyle="1">
    <w:name w:val="Heading 5 Char"/>
    <w:rPr>
      <w:rFonts w:ascii="Calibri" w:hAnsi="Calibri"/>
      <w:b w:val="1"/>
      <w:bCs w:val="1"/>
      <w:i w:val="1"/>
      <w:iCs w:val="1"/>
      <w:color w:val="0d0d0d"/>
      <w:sz w:val="26"/>
      <w:szCs w:val="26"/>
    </w:rPr>
  </w:style>
  <w:style w:type="character" w:styleId="Heading6Char" w:customStyle="1">
    <w:name w:val="Heading 6 Char"/>
    <w:rPr>
      <w:rFonts w:ascii="Calibri" w:hAnsi="Calibri"/>
      <w:b w:val="1"/>
      <w:bCs w:val="1"/>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val="1"/>
      <w:iCs w:val="1"/>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val="1"/>
      <w:spacing w:after="60" w:before="60"/>
      <w:ind w:left="57" w:right="57"/>
      <w:jc w:val="center"/>
    </w:pPr>
    <w:rPr>
      <w:b w:val="1"/>
      <w:color w:val="0d0d0d"/>
      <w:sz w:val="24"/>
      <w:szCs w:val="24"/>
    </w:rPr>
  </w:style>
  <w:style w:type="paragraph" w:styleId="BalloonText">
    <w:name w:val="Balloon Text"/>
    <w:basedOn w:val="Normal"/>
    <w:pPr>
      <w:spacing w:after="0" w:line="240" w:lineRule="auto"/>
    </w:pPr>
    <w:rPr>
      <w:rFonts w:ascii="Tahoma" w:cs="Tahoma" w:hAnsi="Tahoma"/>
      <w:sz w:val="16"/>
      <w:szCs w:val="16"/>
    </w:rPr>
  </w:style>
  <w:style w:type="character" w:styleId="BalloonTextChar" w:customStyle="1">
    <w:name w:val="Balloon Text Char"/>
    <w:rPr>
      <w:rFonts w:ascii="Tahoma" w:cs="Tahoma" w:hAnsi="Tahoma"/>
      <w:sz w:val="16"/>
      <w:szCs w:val="16"/>
    </w:rPr>
  </w:style>
  <w:style w:type="paragraph" w:styleId="TableRow" w:customStyle="1">
    <w:name w:val="TableRow"/>
    <w:pPr>
      <w:suppressAutoHyphens w:val="1"/>
      <w:spacing w:after="60" w:before="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val="1"/>
      <w:bCs w:val="1"/>
      <w:sz w:val="20"/>
    </w:rPr>
  </w:style>
  <w:style w:type="paragraph" w:styleId="ColouredBoxHeadline" w:customStyle="1">
    <w:name w:val="Coloured Box Headline"/>
    <w:basedOn w:val="Normal"/>
    <w:pPr>
      <w:spacing w:before="120"/>
    </w:pPr>
    <w:rPr>
      <w:b w:val="1"/>
      <w:bCs w:val="1"/>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val="1"/>
      <w:bCs w:val="1"/>
    </w:rPr>
  </w:style>
  <w:style w:type="character" w:styleId="CommentSubjectChar" w:customStyle="1">
    <w:name w:val="Comment Subject Char"/>
    <w:basedOn w:val="CommentTextChar"/>
    <w:rPr>
      <w:b w:val="1"/>
      <w:bCs w:val="1"/>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val="1"/>
      <w:bCs w:val="1"/>
      <w:color w:val="104f75"/>
      <w:sz w:val="44"/>
      <w:szCs w:val="44"/>
    </w:rPr>
  </w:style>
  <w:style w:type="character" w:styleId="DateChar" w:customStyle="1">
    <w:name w:val="Date Char"/>
    <w:basedOn w:val="DefaultParagraphFont"/>
    <w:rPr>
      <w:rFonts w:cs="Arial"/>
      <w:b w:val="1"/>
      <w:bCs w:val="1"/>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6"/>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val="1"/>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9"/>
      </w:numPr>
      <w:tabs>
        <w:tab w:val="left" w:pos="-1438"/>
      </w:tabs>
      <w:contextualSpacing w:val="1"/>
    </w:pPr>
  </w:style>
  <w:style w:type="paragraph" w:styleId="Logos" w:customStyle="1">
    <w:name w:val="Logos"/>
    <w:basedOn w:val="Normal"/>
    <w:pPr>
      <w:pageBreakBefore w:val="1"/>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10"/>
      </w:numPr>
      <w:contextualSpacing w:val="1"/>
    </w:pPr>
  </w:style>
  <w:style w:type="paragraph" w:styleId="DfESOutNumbered" w:customStyle="1">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val="1"/>
      <w:suppressAutoHyphens w:val="1"/>
    </w:pPr>
    <w:rPr>
      <w:b w:val="1"/>
      <w:color w:val="104f75"/>
      <w:sz w:val="36"/>
      <w:szCs w:val="24"/>
    </w:rPr>
  </w:style>
  <w:style w:type="character" w:styleId="TOCHeaderChar" w:customStyle="1">
    <w:name w:val="TOC Header Char"/>
    <w:rPr>
      <w:b w:val="1"/>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val="1"/>
      <w:keepLines w:val="1"/>
      <w:widowControl w:val="0"/>
      <w:overflowPunct w:val="0"/>
      <w:autoSpaceDE w:val="0"/>
      <w:spacing w:before="240" w:line="240" w:lineRule="auto"/>
      <w:ind w:left="-720"/>
      <w:textAlignment w:val="baseline"/>
    </w:pPr>
    <w:rPr>
      <w:b w:val="1"/>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cs="Arial" w:hAnsi="Arial"/>
      <w:color w:val="auto"/>
      <w:sz w:val="20"/>
    </w:rPr>
  </w:style>
  <w:style w:type="character" w:styleId="PersonalReplyStyle" w:customStyle="1">
    <w:name w:val="Personal Reply Style"/>
    <w:basedOn w:val="DefaultParagraphFont"/>
    <w:rPr>
      <w:rFonts w:ascii="Arial" w:cs="Arial" w:hAnsi="Arial"/>
      <w:color w:val="auto"/>
      <w:sz w:val="20"/>
    </w:rPr>
  </w:style>
  <w:style w:type="paragraph" w:styleId="Sub-Heading" w:customStyle="1">
    <w:name w:val="Sub-Heading"/>
    <w:basedOn w:val="Heading"/>
    <w:next w:val="Numbered"/>
    <w:pPr>
      <w:spacing w:before="0"/>
    </w:pPr>
  </w:style>
  <w:style w:type="character" w:styleId="SubtitleChar" w:customStyle="1">
    <w:name w:val="Subtitle Char"/>
    <w:basedOn w:val="DefaultParagraphFont"/>
    <w:rPr>
      <w:i w:val="1"/>
      <w:sz w:val="24"/>
      <w:lang w:eastAsia="en-US"/>
    </w:rPr>
  </w:style>
  <w:style w:type="paragraph" w:styleId="DfESBullets" w:customStyle="1">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color="auto" w:fill="e1dfdd" w:val="clear"/>
    </w:rPr>
  </w:style>
  <w:style w:type="paragraph" w:styleId="Revision">
    <w:name w:val="Revision"/>
    <w:rPr>
      <w:color w:val="0d0d0d"/>
      <w:sz w:val="24"/>
      <w:szCs w:val="24"/>
    </w:rPr>
  </w:style>
  <w:style w:type="character" w:styleId="Mention">
    <w:name w:val="Mention"/>
    <w:basedOn w:val="DefaultParagraphFont"/>
    <w:rPr>
      <w:color w:val="2b579a"/>
      <w:shd w:color="auto" w:fill="e1dfdd" w:val="clear"/>
    </w:rPr>
  </w:style>
  <w:style w:type="character" w:styleId="ListParagraphChar" w:customStyle="1">
    <w:name w:val="List Paragraph Char"/>
    <w:basedOn w:val="DefaultParagraphFont"/>
    <w:rPr>
      <w:color w:val="0d0d0d"/>
      <w:sz w:val="24"/>
      <w:szCs w:val="24"/>
    </w:rPr>
  </w:style>
  <w:style w:type="numbering" w:styleId="WWOutlineListStyle3" w:customStyle="1">
    <w:name w:val="WW_OutlineListStyle_3"/>
    <w:basedOn w:val="NoList"/>
    <w:pPr>
      <w:numPr>
        <w:numId w:val="2"/>
      </w:numPr>
    </w:pPr>
  </w:style>
  <w:style w:type="numbering" w:styleId="WWOutlineListStyle2" w:customStyle="1">
    <w:name w:val="WW_OutlineListStyle_2"/>
    <w:basedOn w:val="NoList"/>
    <w:pPr>
      <w:numPr>
        <w:numId w:val="3"/>
      </w:numPr>
    </w:pPr>
  </w:style>
  <w:style w:type="numbering" w:styleId="WWOutlineListStyle1" w:customStyle="1">
    <w:name w:val="WW_OutlineListStyle_1"/>
    <w:basedOn w:val="NoList"/>
    <w:pPr>
      <w:numPr>
        <w:numId w:val="4"/>
      </w:numPr>
    </w:pPr>
  </w:style>
  <w:style w:type="numbering" w:styleId="WWOutlineListStyle" w:customStyle="1">
    <w:name w:val="WW_OutlineListStyle"/>
    <w:basedOn w:val="NoList"/>
    <w:pPr>
      <w:numPr>
        <w:numId w:val="5"/>
      </w:numPr>
    </w:pPr>
  </w:style>
  <w:style w:type="numbering" w:styleId="LFO3" w:customStyle="1">
    <w:name w:val="LFO3"/>
    <w:basedOn w:val="NoList"/>
    <w:pPr>
      <w:numPr>
        <w:numId w:val="6"/>
      </w:numPr>
    </w:pPr>
  </w:style>
  <w:style w:type="numbering" w:styleId="LFO4" w:customStyle="1">
    <w:name w:val="LFO4"/>
    <w:basedOn w:val="NoList"/>
    <w:pPr>
      <w:numPr>
        <w:numId w:val="7"/>
      </w:numPr>
    </w:pPr>
  </w:style>
  <w:style w:type="numbering" w:styleId="LFO6" w:customStyle="1">
    <w:name w:val="LFO6"/>
    <w:basedOn w:val="NoList"/>
    <w:pPr>
      <w:numPr>
        <w:numId w:val="8"/>
      </w:numPr>
    </w:pPr>
  </w:style>
  <w:style w:type="numbering" w:styleId="LFO9" w:customStyle="1">
    <w:name w:val="LFO9"/>
    <w:basedOn w:val="NoList"/>
    <w:pPr>
      <w:numPr>
        <w:numId w:val="9"/>
      </w:numPr>
    </w:pPr>
  </w:style>
  <w:style w:type="numbering" w:styleId="LFO10" w:customStyle="1">
    <w:name w:val="LFO10"/>
    <w:basedOn w:val="NoList"/>
    <w:pPr>
      <w:numPr>
        <w:numId w:val="10"/>
      </w:numPr>
    </w:pPr>
  </w:style>
  <w:style w:type="numbering" w:styleId="LFO25" w:customStyle="1">
    <w:name w:val="LFO25"/>
    <w:basedOn w:val="NoList"/>
    <w:pPr>
      <w:numPr>
        <w:numId w:val="11"/>
      </w:numPr>
    </w:pPr>
  </w:style>
  <w:style w:type="numbering" w:styleId="LFO28" w:customStyle="1">
    <w:name w:val="LFO28"/>
    <w:basedOn w:val="NoList"/>
    <w:pPr>
      <w:numPr>
        <w:numId w:val="12"/>
      </w:numPr>
    </w:pPr>
  </w:style>
  <w:style w:type="numbering" w:styleId="LFO30" w:customStyle="1">
    <w:name w:val="LFO30"/>
    <w:basedOn w:val="NoList"/>
    <w:pPr>
      <w:numPr>
        <w:numId w:val="13"/>
      </w:numPr>
    </w:pPr>
  </w:style>
  <w:style w:type="numbering" w:styleId="LFO34" w:customStyle="1">
    <w:name w:val="LFO34"/>
    <w:basedOn w:val="NoList"/>
    <w:pPr>
      <w:numPr>
        <w:numId w:val="14"/>
      </w:numPr>
    </w:pPr>
  </w:style>
  <w:style w:type="numbering" w:styleId="LFO36" w:customStyle="1">
    <w:name w:val="LFO36"/>
    <w:basedOn w:val="NoList"/>
    <w:pPr>
      <w:numPr>
        <w:numId w:val="15"/>
      </w:numPr>
    </w:pPr>
  </w:style>
  <w:style w:type="paragraph" w:styleId="Subtitle">
    <w:name w:val="Subtitle"/>
    <w:basedOn w:val="Normal"/>
    <w:next w:val="Normal"/>
    <w:pPr>
      <w:widowControl w:val="0"/>
      <w:spacing w:after="60" w:line="240" w:lineRule="auto"/>
      <w:jc w:val="center"/>
    </w:pPr>
    <w:rPr>
      <w:i w:val="1"/>
      <w:color w:val="000000"/>
    </w:rPr>
  </w:style>
  <w:style w:type="table" w:styleId="Table1">
    <w:basedOn w:val="TableNormal"/>
    <w:tblPr>
      <w:tblStyleRowBandSize w:val="1"/>
      <w:tblStyleColBandSize w:val="1"/>
      <w:tblCellMar>
        <w:top w:w="0.0" w:type="dxa"/>
        <w:left w:w="10.0" w:type="dxa"/>
        <w:bottom w:w="0.0" w:type="dxa"/>
        <w:right w:w="10.0" w:type="dxa"/>
      </w:tblCellMar>
    </w:tblPr>
  </w:style>
  <w:style w:type="table" w:styleId="Table2">
    <w:basedOn w:val="TableNormal"/>
    <w:tblPr>
      <w:tblStyleRowBandSize w:val="1"/>
      <w:tblStyleColBandSize w:val="1"/>
      <w:tblCellMar>
        <w:top w:w="0.0" w:type="dxa"/>
        <w:left w:w="10.0" w:type="dxa"/>
        <w:bottom w:w="0.0" w:type="dxa"/>
        <w:right w:w="10.0" w:type="dxa"/>
      </w:tblCellMar>
    </w:tblPr>
  </w:style>
  <w:style w:type="table" w:styleId="Table3">
    <w:basedOn w:val="TableNormal"/>
    <w:tblPr>
      <w:tblStyleRowBandSize w:val="1"/>
      <w:tblStyleColBandSize w:val="1"/>
      <w:tblCellMar>
        <w:top w:w="0.0" w:type="dxa"/>
        <w:left w:w="10.0" w:type="dxa"/>
        <w:bottom w:w="0.0" w:type="dxa"/>
        <w:right w:w="10.0" w:type="dxa"/>
      </w:tblCellMar>
    </w:tblPr>
  </w:style>
  <w:style w:type="table" w:styleId="Table4">
    <w:basedOn w:val="TableNormal"/>
    <w:tblPr>
      <w:tblStyleRowBandSize w:val="1"/>
      <w:tblStyleColBandSize w:val="1"/>
      <w:tblCellMar>
        <w:top w:w="0.0" w:type="dxa"/>
        <w:left w:w="10.0" w:type="dxa"/>
        <w:bottom w:w="0.0" w:type="dxa"/>
        <w:right w:w="10.0" w:type="dxa"/>
      </w:tblCellMar>
    </w:tblPr>
  </w:style>
  <w:style w:type="table" w:styleId="Table5">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jZXXAAw+FleN7KQc/f/DkkkgJA==">CgMxLjAyDmguY2RpdzR1MmIxbzFzMghoLmdqZGd4czIOaC51Z2xqdzRpMjdlcGoyDmguaGs5OXp4cWp4cDV6Mg5oLmxjaHQ1MHJjcHEzbTgAciExVzh1NlNCYmc4VFZuSnZvblNWS2p3Z2FkR0JQbGhCLU8=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2024-07-20T14:08:00Z</dcterms:created>
  <dc:creator>Department for Education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